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2AC76" w14:textId="63645FE5" w:rsidR="00D667E9" w:rsidRDefault="00D667E9" w:rsidP="00D667E9">
      <w:pPr>
        <w:tabs>
          <w:tab w:val="left" w:pos="270"/>
        </w:tabs>
        <w:rPr>
          <w:rFonts w:ascii="Arial" w:eastAsiaTheme="majorEastAsia" w:hAnsi="Arial" w:cstheme="majorBidi"/>
          <w:b/>
          <w:bCs/>
          <w:color w:val="0079C2"/>
          <w:sz w:val="36"/>
          <w:szCs w:val="36"/>
        </w:rPr>
      </w:pPr>
    </w:p>
    <w:p w14:paraId="28765638" w14:textId="1CBFB65A" w:rsidR="00D667E9" w:rsidRDefault="00D667E9" w:rsidP="00D667E9">
      <w:pPr>
        <w:tabs>
          <w:tab w:val="left" w:pos="270"/>
        </w:tabs>
        <w:rPr>
          <w:rFonts w:ascii="Arial" w:eastAsiaTheme="majorEastAsia" w:hAnsi="Arial" w:cstheme="majorBidi"/>
          <w:b/>
          <w:bCs/>
          <w:color w:val="0079C2"/>
          <w:sz w:val="36"/>
          <w:szCs w:val="36"/>
        </w:rPr>
      </w:pPr>
      <w:r>
        <w:rPr>
          <w:noProof/>
        </w:rPr>
        <w:drawing>
          <wp:anchor distT="0" distB="0" distL="114300" distR="114300" simplePos="0" relativeHeight="251659264" behindDoc="0" locked="0" layoutInCell="1" allowOverlap="1" wp14:anchorId="73115D79" wp14:editId="37296517">
            <wp:simplePos x="0" y="0"/>
            <wp:positionH relativeFrom="column">
              <wp:posOffset>4751705</wp:posOffset>
            </wp:positionH>
            <wp:positionV relativeFrom="paragraph">
              <wp:posOffset>128270</wp:posOffset>
            </wp:positionV>
            <wp:extent cx="158623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586230" cy="6858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5C19294" w14:textId="4174469D" w:rsidR="00D667E9" w:rsidRPr="00D667E9" w:rsidRDefault="00D667E9" w:rsidP="00D667E9">
      <w:pPr>
        <w:tabs>
          <w:tab w:val="left" w:pos="270"/>
        </w:tabs>
        <w:rPr>
          <w:rFonts w:ascii="Arial" w:eastAsiaTheme="majorEastAsia" w:hAnsi="Arial" w:cstheme="majorBidi"/>
          <w:b/>
          <w:bCs/>
          <w:color w:val="0079C2"/>
          <w:sz w:val="36"/>
          <w:szCs w:val="36"/>
        </w:rPr>
      </w:pPr>
      <w:r w:rsidRPr="00D667E9">
        <w:rPr>
          <w:rFonts w:ascii="Arial" w:eastAsiaTheme="majorEastAsia" w:hAnsi="Arial" w:cstheme="majorBidi"/>
          <w:b/>
          <w:bCs/>
          <w:color w:val="0079C2"/>
          <w:sz w:val="36"/>
          <w:szCs w:val="36"/>
        </w:rPr>
        <w:t xml:space="preserve">Topcon </w:t>
      </w:r>
      <w:r>
        <w:rPr>
          <w:rFonts w:ascii="Arial" w:eastAsiaTheme="majorEastAsia" w:hAnsi="Arial" w:cstheme="majorBidi"/>
          <w:b/>
          <w:bCs/>
          <w:color w:val="0079C2"/>
          <w:sz w:val="36"/>
          <w:szCs w:val="36"/>
        </w:rPr>
        <w:t xml:space="preserve">announces new geodetic </w:t>
      </w:r>
      <w:r w:rsidRPr="00D667E9">
        <w:rPr>
          <w:rFonts w:ascii="Arial" w:eastAsiaTheme="majorEastAsia" w:hAnsi="Arial" w:cstheme="majorBidi"/>
          <w:b/>
          <w:bCs/>
          <w:color w:val="0079C2"/>
          <w:sz w:val="36"/>
          <w:szCs w:val="36"/>
        </w:rPr>
        <w:t xml:space="preserve">antenna </w:t>
      </w:r>
    </w:p>
    <w:p w14:paraId="65850205" w14:textId="77777777" w:rsidR="00C81D46" w:rsidRPr="00C81D46" w:rsidRDefault="00C81D46" w:rsidP="00C81D46">
      <w:pPr>
        <w:tabs>
          <w:tab w:val="left" w:pos="270"/>
        </w:tabs>
        <w:rPr>
          <w:rFonts w:ascii="Arial" w:hAnsi="Arial"/>
          <w:i/>
          <w:color w:val="000000"/>
          <w:sz w:val="20"/>
          <w:szCs w:val="20"/>
        </w:rPr>
      </w:pPr>
    </w:p>
    <w:p w14:paraId="400F197D" w14:textId="77777777" w:rsidR="00D667E9" w:rsidRDefault="00D667E9" w:rsidP="00F86AB9">
      <w:pPr>
        <w:tabs>
          <w:tab w:val="left" w:pos="270"/>
        </w:tabs>
        <w:rPr>
          <w:rFonts w:ascii="Arial" w:hAnsi="Arial"/>
          <w:i/>
          <w:color w:val="000000"/>
          <w:sz w:val="20"/>
          <w:szCs w:val="20"/>
        </w:rPr>
      </w:pPr>
    </w:p>
    <w:p w14:paraId="1684A339" w14:textId="77777777" w:rsidR="00D667E9" w:rsidRDefault="00D667E9" w:rsidP="00D667E9">
      <w:pPr>
        <w:tabs>
          <w:tab w:val="left" w:pos="270"/>
        </w:tabs>
        <w:rPr>
          <w:rFonts w:ascii="Arial" w:hAnsi="Arial"/>
          <w:i/>
          <w:color w:val="000000"/>
          <w:sz w:val="22"/>
          <w:szCs w:val="20"/>
        </w:rPr>
      </w:pPr>
    </w:p>
    <w:p w14:paraId="7669C188" w14:textId="001C92D0" w:rsidR="00D667E9" w:rsidRPr="00D667E9" w:rsidRDefault="00D667E9" w:rsidP="00D667E9">
      <w:pPr>
        <w:tabs>
          <w:tab w:val="left" w:pos="270"/>
        </w:tabs>
        <w:rPr>
          <w:rFonts w:ascii="Arial" w:hAnsi="Arial"/>
          <w:color w:val="000000"/>
          <w:szCs w:val="20"/>
        </w:rPr>
      </w:pPr>
      <w:r w:rsidRPr="00D667E9">
        <w:rPr>
          <w:rFonts w:ascii="Arial" w:hAnsi="Arial"/>
          <w:i/>
          <w:color w:val="000000"/>
          <w:szCs w:val="20"/>
        </w:rPr>
        <w:t xml:space="preserve">LIVERMORE, Calif., USA/ CAPELLE A/D IJSSEL, </w:t>
      </w:r>
      <w:proofErr w:type="gramStart"/>
      <w:r w:rsidRPr="00D667E9">
        <w:rPr>
          <w:rFonts w:ascii="Arial" w:hAnsi="Arial"/>
          <w:i/>
          <w:color w:val="000000"/>
          <w:szCs w:val="20"/>
        </w:rPr>
        <w:t>The</w:t>
      </w:r>
      <w:proofErr w:type="gramEnd"/>
      <w:r w:rsidRPr="00D667E9">
        <w:rPr>
          <w:rFonts w:ascii="Arial" w:hAnsi="Arial"/>
          <w:i/>
          <w:color w:val="000000"/>
          <w:szCs w:val="20"/>
        </w:rPr>
        <w:t xml:space="preserve"> Netherlands – March 3, 2016 – </w:t>
      </w:r>
      <w:r w:rsidRPr="00D667E9">
        <w:rPr>
          <w:rFonts w:ascii="Arial" w:hAnsi="Arial"/>
          <w:color w:val="000000"/>
          <w:szCs w:val="20"/>
        </w:rPr>
        <w:t xml:space="preserve">Topcon Positioning Group announces the release of a new full wave geodetic antenna — the G5-A1.  The portable antenna is designed to provide improved multipath mitigation for use with a mobile base station site or network reference station. </w:t>
      </w:r>
    </w:p>
    <w:p w14:paraId="523270AC" w14:textId="77777777" w:rsidR="00D667E9" w:rsidRPr="00D667E9" w:rsidRDefault="00D667E9" w:rsidP="00D667E9">
      <w:pPr>
        <w:tabs>
          <w:tab w:val="left" w:pos="270"/>
        </w:tabs>
        <w:rPr>
          <w:rFonts w:ascii="Arial" w:hAnsi="Arial"/>
          <w:color w:val="000000"/>
          <w:szCs w:val="20"/>
        </w:rPr>
      </w:pPr>
    </w:p>
    <w:p w14:paraId="74195078" w14:textId="77777777" w:rsidR="00D667E9" w:rsidRPr="00D667E9" w:rsidRDefault="00D667E9" w:rsidP="00D667E9">
      <w:pPr>
        <w:tabs>
          <w:tab w:val="left" w:pos="270"/>
        </w:tabs>
        <w:rPr>
          <w:rFonts w:ascii="Arial" w:hAnsi="Arial"/>
          <w:color w:val="000000"/>
          <w:szCs w:val="20"/>
        </w:rPr>
      </w:pPr>
      <w:r w:rsidRPr="00D667E9">
        <w:rPr>
          <w:rFonts w:ascii="Arial" w:hAnsi="Arial"/>
          <w:color w:val="000000"/>
          <w:szCs w:val="20"/>
        </w:rPr>
        <w:t xml:space="preserve">“When paired with the </w:t>
      </w:r>
      <w:hyperlink r:id="rId10" w:history="1">
        <w:r w:rsidRPr="00D667E9">
          <w:rPr>
            <w:rStyle w:val="Hyperlink"/>
            <w:rFonts w:ascii="Arial" w:hAnsi="Arial"/>
            <w:szCs w:val="20"/>
          </w:rPr>
          <w:t>Topcon NET-G5 receiver</w:t>
        </w:r>
      </w:hyperlink>
      <w:r w:rsidRPr="00D667E9">
        <w:rPr>
          <w:rFonts w:ascii="Arial" w:hAnsi="Arial"/>
          <w:color w:val="000000"/>
          <w:szCs w:val="20"/>
        </w:rPr>
        <w:t xml:space="preserve">, the zero-centered geodetic antenna provides a powerful and cost-effective entry-level solution” said Charles </w:t>
      </w:r>
      <w:proofErr w:type="spellStart"/>
      <w:r w:rsidRPr="00D667E9">
        <w:rPr>
          <w:rFonts w:ascii="Arial" w:hAnsi="Arial"/>
          <w:color w:val="000000"/>
          <w:szCs w:val="20"/>
        </w:rPr>
        <w:t>Rihner</w:t>
      </w:r>
      <w:proofErr w:type="spellEnd"/>
      <w:r w:rsidRPr="00D667E9">
        <w:rPr>
          <w:rFonts w:ascii="Arial" w:hAnsi="Arial"/>
          <w:color w:val="000000"/>
          <w:szCs w:val="20"/>
        </w:rPr>
        <w:t xml:space="preserve">, vice president of the Topcon </w:t>
      </w:r>
      <w:proofErr w:type="spellStart"/>
      <w:r w:rsidRPr="00D667E9">
        <w:rPr>
          <w:rFonts w:ascii="Arial" w:hAnsi="Arial"/>
          <w:color w:val="000000"/>
          <w:szCs w:val="20"/>
        </w:rPr>
        <w:t>GeoPositioning</w:t>
      </w:r>
      <w:proofErr w:type="spellEnd"/>
      <w:r w:rsidRPr="00D667E9">
        <w:rPr>
          <w:rFonts w:ascii="Arial" w:hAnsi="Arial"/>
          <w:color w:val="000000"/>
          <w:szCs w:val="20"/>
        </w:rPr>
        <w:t xml:space="preserve"> Solutions Group. </w:t>
      </w:r>
    </w:p>
    <w:p w14:paraId="0A311192" w14:textId="77777777" w:rsidR="00D667E9" w:rsidRPr="00D667E9" w:rsidRDefault="00D667E9" w:rsidP="00D667E9">
      <w:pPr>
        <w:tabs>
          <w:tab w:val="left" w:pos="270"/>
        </w:tabs>
        <w:rPr>
          <w:rFonts w:ascii="Arial" w:hAnsi="Arial"/>
          <w:color w:val="000000"/>
          <w:szCs w:val="20"/>
        </w:rPr>
      </w:pPr>
    </w:p>
    <w:p w14:paraId="177BB8D3" w14:textId="77777777" w:rsidR="00D667E9" w:rsidRPr="00D667E9" w:rsidRDefault="00D667E9" w:rsidP="00D667E9">
      <w:pPr>
        <w:tabs>
          <w:tab w:val="left" w:pos="270"/>
        </w:tabs>
        <w:rPr>
          <w:rFonts w:ascii="Arial" w:hAnsi="Arial"/>
          <w:color w:val="000000"/>
          <w:szCs w:val="20"/>
        </w:rPr>
      </w:pPr>
      <w:r w:rsidRPr="00D667E9">
        <w:rPr>
          <w:rFonts w:ascii="Arial" w:hAnsi="Arial"/>
          <w:color w:val="000000"/>
          <w:szCs w:val="20"/>
        </w:rPr>
        <w:t xml:space="preserve">The G5-A1 is optimized for geospatial industries and designed to track all globally available and developing satellite constellations. The antenna weighs approximately 1 pound (.5 kg) and is 7 inches (17.9 cm) wide. </w:t>
      </w:r>
    </w:p>
    <w:p w14:paraId="006E45A2" w14:textId="77777777" w:rsidR="00D667E9" w:rsidRPr="00D667E9" w:rsidRDefault="00D667E9" w:rsidP="00D667E9">
      <w:pPr>
        <w:tabs>
          <w:tab w:val="left" w:pos="270"/>
        </w:tabs>
        <w:rPr>
          <w:rFonts w:ascii="Arial" w:hAnsi="Arial"/>
          <w:color w:val="000000"/>
          <w:szCs w:val="20"/>
        </w:rPr>
      </w:pPr>
    </w:p>
    <w:p w14:paraId="2171F633" w14:textId="77777777" w:rsidR="00D667E9" w:rsidRPr="00D667E9" w:rsidRDefault="00D667E9" w:rsidP="00D667E9">
      <w:pPr>
        <w:tabs>
          <w:tab w:val="left" w:pos="270"/>
        </w:tabs>
        <w:rPr>
          <w:rFonts w:ascii="Arial" w:hAnsi="Arial"/>
          <w:color w:val="000000"/>
          <w:szCs w:val="20"/>
        </w:rPr>
      </w:pPr>
      <w:r w:rsidRPr="00D667E9">
        <w:rPr>
          <w:rFonts w:ascii="Arial" w:hAnsi="Arial"/>
          <w:color w:val="000000"/>
          <w:szCs w:val="20"/>
        </w:rPr>
        <w:t xml:space="preserve">“With its portability and geodetic level performance, the new G5-A1 antenna provides an excellent choice for mobile base system and economy reference station system,” said </w:t>
      </w:r>
      <w:proofErr w:type="spellStart"/>
      <w:r w:rsidRPr="00D667E9">
        <w:rPr>
          <w:rFonts w:ascii="Arial" w:hAnsi="Arial"/>
          <w:color w:val="000000"/>
          <w:szCs w:val="20"/>
        </w:rPr>
        <w:t>Rihner</w:t>
      </w:r>
      <w:proofErr w:type="spellEnd"/>
      <w:r w:rsidRPr="00D667E9">
        <w:rPr>
          <w:rFonts w:ascii="Arial" w:hAnsi="Arial"/>
          <w:color w:val="000000"/>
          <w:szCs w:val="20"/>
        </w:rPr>
        <w:t xml:space="preserve">. </w:t>
      </w:r>
    </w:p>
    <w:p w14:paraId="2BFECBA9" w14:textId="77777777" w:rsidR="00D667E9" w:rsidRPr="00D667E9" w:rsidRDefault="00D667E9" w:rsidP="00D667E9">
      <w:pPr>
        <w:tabs>
          <w:tab w:val="left" w:pos="270"/>
        </w:tabs>
        <w:rPr>
          <w:rFonts w:ascii="Arial" w:hAnsi="Arial"/>
          <w:color w:val="000000"/>
          <w:sz w:val="22"/>
          <w:szCs w:val="20"/>
        </w:rPr>
      </w:pPr>
    </w:p>
    <w:p w14:paraId="51837391" w14:textId="48E9FCF9" w:rsidR="009434F4" w:rsidRPr="00D667E9" w:rsidRDefault="00D667E9" w:rsidP="00F86AB9">
      <w:pPr>
        <w:tabs>
          <w:tab w:val="left" w:pos="270"/>
        </w:tabs>
        <w:rPr>
          <w:rFonts w:ascii="Arial" w:hAnsi="Arial"/>
          <w:color w:val="000000"/>
          <w:sz w:val="22"/>
          <w:szCs w:val="20"/>
        </w:rPr>
      </w:pPr>
      <w:r w:rsidRPr="00D667E9">
        <w:rPr>
          <w:rFonts w:ascii="Arial" w:hAnsi="Arial"/>
          <w:color w:val="000000"/>
          <w:sz w:val="22"/>
          <w:szCs w:val="20"/>
        </w:rPr>
        <w:t xml:space="preserve">For more information, visit </w:t>
      </w:r>
      <w:hyperlink r:id="rId11" w:history="1">
        <w:r w:rsidRPr="00D667E9">
          <w:rPr>
            <w:rStyle w:val="Hyperlink"/>
            <w:rFonts w:ascii="Arial" w:hAnsi="Arial"/>
            <w:sz w:val="22"/>
            <w:szCs w:val="20"/>
          </w:rPr>
          <w:t>topconpositioning.com</w:t>
        </w:r>
      </w:hyperlink>
      <w:r w:rsidRPr="00D667E9">
        <w:rPr>
          <w:rFonts w:ascii="Arial" w:hAnsi="Arial"/>
          <w:color w:val="000000"/>
          <w:sz w:val="22"/>
          <w:szCs w:val="20"/>
        </w:rPr>
        <w:t>.</w:t>
      </w:r>
    </w:p>
    <w:p w14:paraId="1D24A199" w14:textId="77777777" w:rsidR="00F86AB9" w:rsidRPr="00C81D46" w:rsidRDefault="00F86AB9" w:rsidP="00F86AB9">
      <w:pPr>
        <w:tabs>
          <w:tab w:val="left" w:pos="270"/>
        </w:tabs>
        <w:rPr>
          <w:rFonts w:ascii="Arial" w:hAnsi="Arial"/>
          <w:color w:val="000000"/>
          <w:sz w:val="22"/>
          <w:szCs w:val="22"/>
        </w:rPr>
      </w:pPr>
    </w:p>
    <w:p w14:paraId="3AF5639C" w14:textId="77777777" w:rsidR="006456AE" w:rsidRPr="00D667E9" w:rsidRDefault="007530F6" w:rsidP="00E07F73">
      <w:pPr>
        <w:tabs>
          <w:tab w:val="left" w:pos="270"/>
        </w:tabs>
        <w:jc w:val="center"/>
        <w:rPr>
          <w:rFonts w:ascii="Arial" w:hAnsi="Arial" w:cs="Arial"/>
          <w:sz w:val="18"/>
          <w:szCs w:val="18"/>
        </w:rPr>
      </w:pPr>
      <w:r w:rsidRPr="00D667E9">
        <w:rPr>
          <w:rFonts w:ascii="Arial" w:hAnsi="Arial" w:cs="Arial"/>
          <w:sz w:val="18"/>
          <w:szCs w:val="18"/>
        </w:rPr>
        <w:t># # #</w:t>
      </w:r>
    </w:p>
    <w:p w14:paraId="67DEA705" w14:textId="77777777" w:rsidR="00D70AF0" w:rsidRPr="00D667E9" w:rsidRDefault="00D70AF0" w:rsidP="00E07F73">
      <w:pPr>
        <w:tabs>
          <w:tab w:val="left" w:pos="270"/>
        </w:tabs>
        <w:jc w:val="center"/>
        <w:rPr>
          <w:rFonts w:ascii="Arial" w:hAnsi="Arial" w:cs="Arial"/>
          <w:sz w:val="18"/>
          <w:szCs w:val="18"/>
        </w:rPr>
      </w:pPr>
    </w:p>
    <w:p w14:paraId="19F0EC39" w14:textId="2197D53A" w:rsidR="00773A4C" w:rsidRPr="00D667E9" w:rsidRDefault="001855FB" w:rsidP="00E07F73">
      <w:pPr>
        <w:tabs>
          <w:tab w:val="left" w:pos="270"/>
        </w:tabs>
        <w:rPr>
          <w:rFonts w:ascii="Arial" w:hAnsi="Arial"/>
          <w:color w:val="808080" w:themeColor="background1" w:themeShade="80"/>
          <w:sz w:val="18"/>
          <w:szCs w:val="18"/>
        </w:rPr>
      </w:pPr>
      <w:r w:rsidRPr="00D667E9">
        <w:rPr>
          <w:rFonts w:ascii="Arial" w:hAnsi="Arial"/>
          <w:b/>
          <w:color w:val="808080" w:themeColor="background1" w:themeShade="80"/>
          <w:sz w:val="18"/>
          <w:szCs w:val="18"/>
        </w:rPr>
        <w:t>About Topcon Positioning Group</w:t>
      </w:r>
      <w:r w:rsidRPr="00D667E9">
        <w:rPr>
          <w:rFonts w:ascii="Arial" w:hAnsi="Arial"/>
          <w:b/>
          <w:color w:val="808080" w:themeColor="background1" w:themeShade="80"/>
          <w:sz w:val="18"/>
          <w:szCs w:val="18"/>
        </w:rPr>
        <w:br/>
      </w:r>
      <w:r w:rsidR="002C1A8C" w:rsidRPr="00D667E9">
        <w:rPr>
          <w:rFonts w:ascii="Arial" w:hAnsi="Arial"/>
          <w:color w:val="808080" w:themeColor="background1" w:themeShade="80"/>
          <w:sz w:val="18"/>
          <w:szCs w:val="18"/>
        </w:rPr>
        <w:t>Topcon Positioning Group is headquartered in Livermore, California, USA (</w:t>
      </w:r>
      <w:hyperlink r:id="rId12" w:history="1">
        <w:r w:rsidR="002C1A8C" w:rsidRPr="00D667E9">
          <w:rPr>
            <w:rStyle w:val="Hyperlink"/>
            <w:rFonts w:ascii="Arial" w:hAnsi="Arial"/>
            <w:sz w:val="18"/>
            <w:szCs w:val="18"/>
          </w:rPr>
          <w:t>topconpositioning.com</w:t>
        </w:r>
      </w:hyperlink>
      <w:r w:rsidR="002C1A8C" w:rsidRPr="00D667E9">
        <w:rPr>
          <w:rFonts w:ascii="Arial" w:hAnsi="Arial"/>
          <w:color w:val="808080" w:themeColor="background1" w:themeShade="80"/>
          <w:sz w:val="18"/>
          <w:szCs w:val="18"/>
        </w:rPr>
        <w:t xml:space="preserve">). Its European head office is in </w:t>
      </w:r>
      <w:proofErr w:type="spellStart"/>
      <w:r w:rsidR="002C1A8C" w:rsidRPr="00D667E9">
        <w:rPr>
          <w:rFonts w:ascii="Arial" w:hAnsi="Arial"/>
          <w:color w:val="808080" w:themeColor="background1" w:themeShade="80"/>
          <w:sz w:val="18"/>
          <w:szCs w:val="18"/>
        </w:rPr>
        <w:t>Capelle</w:t>
      </w:r>
      <w:proofErr w:type="spellEnd"/>
      <w:r w:rsidR="002C1A8C" w:rsidRPr="00D667E9">
        <w:rPr>
          <w:rFonts w:ascii="Arial" w:hAnsi="Arial"/>
          <w:color w:val="808080" w:themeColor="background1" w:themeShade="80"/>
          <w:sz w:val="18"/>
          <w:szCs w:val="18"/>
        </w:rPr>
        <w:t xml:space="preserve"> </w:t>
      </w:r>
      <w:proofErr w:type="spellStart"/>
      <w:r w:rsidR="002C1A8C" w:rsidRPr="00D667E9">
        <w:rPr>
          <w:rFonts w:ascii="Arial" w:hAnsi="Arial"/>
          <w:color w:val="808080" w:themeColor="background1" w:themeShade="80"/>
          <w:sz w:val="18"/>
          <w:szCs w:val="18"/>
        </w:rPr>
        <w:t>a/d</w:t>
      </w:r>
      <w:proofErr w:type="spellEnd"/>
      <w:r w:rsidR="002C1A8C" w:rsidRPr="00D667E9">
        <w:rPr>
          <w:rFonts w:ascii="Arial" w:hAnsi="Arial"/>
          <w:color w:val="808080" w:themeColor="background1" w:themeShade="80"/>
          <w:sz w:val="18"/>
          <w:szCs w:val="18"/>
        </w:rPr>
        <w:t xml:space="preserve"> </w:t>
      </w:r>
      <w:proofErr w:type="spellStart"/>
      <w:r w:rsidR="002C1A8C" w:rsidRPr="00D667E9">
        <w:rPr>
          <w:rFonts w:ascii="Arial" w:hAnsi="Arial"/>
          <w:color w:val="808080" w:themeColor="background1" w:themeShade="80"/>
          <w:sz w:val="18"/>
          <w:szCs w:val="18"/>
        </w:rPr>
        <w:t>IJssel</w:t>
      </w:r>
      <w:proofErr w:type="spellEnd"/>
      <w:r w:rsidR="002C1A8C" w:rsidRPr="00D667E9">
        <w:rPr>
          <w:rFonts w:ascii="Arial" w:hAnsi="Arial"/>
          <w:color w:val="808080" w:themeColor="background1" w:themeShade="80"/>
          <w:sz w:val="18"/>
          <w:szCs w:val="18"/>
        </w:rPr>
        <w:t>, the Netherlands (</w:t>
      </w:r>
      <w:hyperlink r:id="rId13" w:history="1">
        <w:r w:rsidR="002C1A8C" w:rsidRPr="00D667E9">
          <w:rPr>
            <w:rStyle w:val="Hyperlink"/>
            <w:rFonts w:ascii="Arial" w:hAnsi="Arial"/>
            <w:sz w:val="18"/>
            <w:szCs w:val="18"/>
          </w:rPr>
          <w:t>topconpositioning.eu</w:t>
        </w:r>
      </w:hyperlink>
      <w:r w:rsidR="002C1A8C" w:rsidRPr="00D667E9">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2C1A8C" w:rsidRPr="00D667E9">
        <w:rPr>
          <w:rFonts w:ascii="Arial" w:hAnsi="Arial"/>
          <w:color w:val="808080" w:themeColor="background1" w:themeShade="80"/>
          <w:sz w:val="18"/>
          <w:szCs w:val="18"/>
        </w:rPr>
        <w:t>Wachendorff</w:t>
      </w:r>
      <w:proofErr w:type="spellEnd"/>
      <w:r w:rsidR="002C1A8C" w:rsidRPr="00D667E9">
        <w:rPr>
          <w:rFonts w:ascii="Arial" w:hAnsi="Arial"/>
          <w:color w:val="808080" w:themeColor="background1" w:themeShade="80"/>
          <w:sz w:val="18"/>
          <w:szCs w:val="18"/>
        </w:rPr>
        <w:t xml:space="preserve"> </w:t>
      </w:r>
      <w:proofErr w:type="spellStart"/>
      <w:r w:rsidR="002C1A8C" w:rsidRPr="00D667E9">
        <w:rPr>
          <w:rFonts w:ascii="Arial" w:hAnsi="Arial"/>
          <w:color w:val="808080" w:themeColor="background1" w:themeShade="80"/>
          <w:sz w:val="18"/>
          <w:szCs w:val="18"/>
        </w:rPr>
        <w:t>Elektronik</w:t>
      </w:r>
      <w:proofErr w:type="spellEnd"/>
      <w:r w:rsidR="002C1A8C" w:rsidRPr="00D667E9">
        <w:rPr>
          <w:rFonts w:ascii="Arial" w:hAnsi="Arial"/>
          <w:color w:val="808080" w:themeColor="background1" w:themeShade="80"/>
          <w:sz w:val="18"/>
          <w:szCs w:val="18"/>
        </w:rPr>
        <w:t xml:space="preserve">, </w:t>
      </w:r>
      <w:proofErr w:type="spellStart"/>
      <w:r w:rsidR="002C1A8C" w:rsidRPr="00D667E9">
        <w:rPr>
          <w:rFonts w:ascii="Arial" w:hAnsi="Arial"/>
          <w:color w:val="808080" w:themeColor="background1" w:themeShade="80"/>
          <w:sz w:val="18"/>
          <w:szCs w:val="18"/>
        </w:rPr>
        <w:t>Digi</w:t>
      </w:r>
      <w:proofErr w:type="spellEnd"/>
      <w:r w:rsidR="002C1A8C" w:rsidRPr="00D667E9">
        <w:rPr>
          <w:rFonts w:ascii="Arial" w:hAnsi="Arial"/>
          <w:color w:val="808080" w:themeColor="background1" w:themeShade="80"/>
          <w:sz w:val="18"/>
          <w:szCs w:val="18"/>
        </w:rPr>
        <w:t>-Star, RDS Technology, NORAC and 2LS. Topcon Corporation (</w:t>
      </w:r>
      <w:hyperlink r:id="rId14" w:history="1">
        <w:r w:rsidR="002C1A8C" w:rsidRPr="00D667E9">
          <w:rPr>
            <w:rStyle w:val="Hyperlink"/>
            <w:rFonts w:ascii="Arial" w:hAnsi="Arial"/>
            <w:sz w:val="18"/>
            <w:szCs w:val="18"/>
          </w:rPr>
          <w:t>topcon.com</w:t>
        </w:r>
      </w:hyperlink>
      <w:r w:rsidR="002C1A8C" w:rsidRPr="00D667E9">
        <w:rPr>
          <w:rFonts w:ascii="Arial" w:hAnsi="Arial"/>
          <w:color w:val="808080" w:themeColor="background1" w:themeShade="80"/>
          <w:sz w:val="18"/>
          <w:szCs w:val="18"/>
        </w:rPr>
        <w:t>), founded in 1932, is traded on the Tokyo Stock Exchange (7732). </w:t>
      </w:r>
    </w:p>
    <w:p w14:paraId="3063E94E" w14:textId="77777777" w:rsidR="00C725ED" w:rsidRPr="00D667E9" w:rsidRDefault="00C725ED" w:rsidP="00E07F73">
      <w:pPr>
        <w:tabs>
          <w:tab w:val="left" w:pos="270"/>
        </w:tabs>
        <w:rPr>
          <w:rFonts w:ascii="Arial" w:hAnsi="Arial"/>
          <w:color w:val="808080" w:themeColor="background1" w:themeShade="80"/>
          <w:sz w:val="18"/>
          <w:szCs w:val="18"/>
        </w:rPr>
      </w:pPr>
    </w:p>
    <w:p w14:paraId="73C59904" w14:textId="77777777" w:rsidR="00EB1000" w:rsidRPr="00D667E9" w:rsidRDefault="00EB1000" w:rsidP="00E07F73">
      <w:pPr>
        <w:tabs>
          <w:tab w:val="left" w:pos="270"/>
        </w:tabs>
        <w:rPr>
          <w:rFonts w:ascii="Arial" w:hAnsi="Arial"/>
          <w:b/>
          <w:color w:val="808080" w:themeColor="background1" w:themeShade="80"/>
          <w:sz w:val="16"/>
          <w:szCs w:val="18"/>
        </w:rPr>
      </w:pPr>
      <w:r w:rsidRPr="00D667E9">
        <w:rPr>
          <w:rFonts w:ascii="Arial" w:hAnsi="Arial"/>
          <w:b/>
          <w:color w:val="808080" w:themeColor="background1" w:themeShade="80"/>
          <w:sz w:val="16"/>
          <w:szCs w:val="18"/>
        </w:rPr>
        <w:t>Press Information</w:t>
      </w:r>
    </w:p>
    <w:p w14:paraId="7E8C364B" w14:textId="77777777" w:rsidR="007530F6" w:rsidRPr="00D667E9" w:rsidRDefault="007530F6" w:rsidP="00E07F73">
      <w:pPr>
        <w:tabs>
          <w:tab w:val="left" w:pos="270"/>
        </w:tabs>
        <w:rPr>
          <w:rFonts w:ascii="Arial" w:hAnsi="Arial"/>
          <w:color w:val="808080" w:themeColor="background1" w:themeShade="80"/>
          <w:sz w:val="16"/>
          <w:szCs w:val="18"/>
        </w:rPr>
      </w:pPr>
      <w:r w:rsidRPr="00D667E9">
        <w:rPr>
          <w:rFonts w:ascii="Arial" w:hAnsi="Arial"/>
          <w:color w:val="808080" w:themeColor="background1" w:themeShade="80"/>
          <w:sz w:val="16"/>
          <w:szCs w:val="18"/>
        </w:rPr>
        <w:t>Topcon Positioning Group</w:t>
      </w:r>
      <w:r w:rsidR="0009234C" w:rsidRPr="00D667E9">
        <w:rPr>
          <w:rFonts w:ascii="Arial" w:hAnsi="Arial"/>
          <w:color w:val="808080" w:themeColor="background1" w:themeShade="80"/>
          <w:sz w:val="16"/>
          <w:szCs w:val="18"/>
        </w:rPr>
        <w:t xml:space="preserve">,  </w:t>
      </w:r>
    </w:p>
    <w:p w14:paraId="640BE796" w14:textId="77777777" w:rsidR="00EB1000" w:rsidRPr="00D667E9" w:rsidRDefault="00D667E9" w:rsidP="00E07F73">
      <w:pPr>
        <w:tabs>
          <w:tab w:val="left" w:pos="270"/>
        </w:tabs>
        <w:rPr>
          <w:rFonts w:ascii="Arial" w:hAnsi="Arial"/>
          <w:color w:val="808080" w:themeColor="background1" w:themeShade="80"/>
          <w:sz w:val="16"/>
          <w:szCs w:val="18"/>
        </w:rPr>
      </w:pPr>
      <w:hyperlink r:id="rId15" w:history="1">
        <w:r w:rsidR="00EB1000" w:rsidRPr="00D667E9">
          <w:rPr>
            <w:rStyle w:val="Hyperlink"/>
            <w:rFonts w:ascii="Arial" w:hAnsi="Arial"/>
            <w:color w:val="808080" w:themeColor="background1" w:themeShade="80"/>
            <w:sz w:val="16"/>
            <w:szCs w:val="18"/>
          </w:rPr>
          <w:t>news@topcon.com</w:t>
        </w:r>
      </w:hyperlink>
    </w:p>
    <w:p w14:paraId="37C04793" w14:textId="77777777" w:rsidR="00EB1000" w:rsidRPr="00D667E9" w:rsidRDefault="00EB1000" w:rsidP="00E07F73">
      <w:pPr>
        <w:tabs>
          <w:tab w:val="left" w:pos="270"/>
        </w:tabs>
        <w:rPr>
          <w:rFonts w:ascii="Arial" w:hAnsi="Arial"/>
          <w:color w:val="808080" w:themeColor="background1" w:themeShade="80"/>
          <w:sz w:val="16"/>
          <w:szCs w:val="18"/>
        </w:rPr>
      </w:pPr>
      <w:r w:rsidRPr="00D667E9">
        <w:rPr>
          <w:rFonts w:ascii="Arial" w:hAnsi="Arial"/>
          <w:color w:val="808080" w:themeColor="background1" w:themeShade="80"/>
          <w:sz w:val="16"/>
          <w:szCs w:val="18"/>
        </w:rPr>
        <w:t xml:space="preserve">USA: Staci Fitzgerald, </w:t>
      </w:r>
      <w:r w:rsidR="00FD032D" w:rsidRPr="00D667E9">
        <w:rPr>
          <w:rFonts w:ascii="Arial" w:hAnsi="Arial"/>
          <w:color w:val="808080" w:themeColor="background1" w:themeShade="80"/>
          <w:sz w:val="16"/>
          <w:szCs w:val="18"/>
        </w:rPr>
        <w:t xml:space="preserve">+1 </w:t>
      </w:r>
      <w:r w:rsidRPr="00D667E9">
        <w:rPr>
          <w:rFonts w:ascii="Arial" w:hAnsi="Arial"/>
          <w:color w:val="808080" w:themeColor="background1" w:themeShade="80"/>
          <w:sz w:val="16"/>
          <w:szCs w:val="18"/>
        </w:rPr>
        <w:t>925-245-8610</w:t>
      </w:r>
    </w:p>
    <w:p w14:paraId="658FC267" w14:textId="6BCFF6F1" w:rsidR="00853C9A" w:rsidRPr="00D667E9" w:rsidRDefault="00EB1000" w:rsidP="00C81D46">
      <w:pPr>
        <w:tabs>
          <w:tab w:val="left" w:pos="270"/>
        </w:tabs>
        <w:rPr>
          <w:rFonts w:ascii="Arial" w:hAnsi="Arial"/>
          <w:color w:val="808080" w:themeColor="background1" w:themeShade="80"/>
          <w:sz w:val="16"/>
          <w:szCs w:val="18"/>
        </w:rPr>
      </w:pPr>
      <w:r w:rsidRPr="00D667E9">
        <w:rPr>
          <w:rFonts w:ascii="Arial" w:hAnsi="Arial"/>
          <w:color w:val="808080" w:themeColor="background1" w:themeShade="80"/>
          <w:sz w:val="16"/>
          <w:szCs w:val="18"/>
        </w:rPr>
        <w:t>Europe: Stuart Proctor</w:t>
      </w:r>
      <w:r w:rsidR="00FD032D" w:rsidRPr="00D667E9">
        <w:rPr>
          <w:rFonts w:ascii="Arial" w:hAnsi="Arial"/>
          <w:color w:val="808080" w:themeColor="background1" w:themeShade="80"/>
          <w:sz w:val="16"/>
          <w:szCs w:val="18"/>
        </w:rPr>
        <w:t xml:space="preserve"> +31 10 458 50 77</w:t>
      </w:r>
      <w:bookmarkStart w:id="0" w:name="_GoBack"/>
      <w:bookmarkEnd w:id="0"/>
    </w:p>
    <w:sectPr w:rsidR="00853C9A" w:rsidRPr="00D667E9" w:rsidSect="0009234C">
      <w:headerReference w:type="first" r:id="rId16"/>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67E9"/>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news@topcon.com"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topconpositioning.com/gnss-and-network-solutions/gnss-network-solutions/net-g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19E33-F117-3446-8CD9-FFD9C953B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2199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2</cp:revision>
  <cp:lastPrinted>2015-08-13T12:52:00Z</cp:lastPrinted>
  <dcterms:created xsi:type="dcterms:W3CDTF">2016-03-03T15:59:00Z</dcterms:created>
  <dcterms:modified xsi:type="dcterms:W3CDTF">2016-03-03T15:59:00Z</dcterms:modified>
  <cp:category/>
</cp:coreProperties>
</file>